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4C56F8">
        <w:rPr>
          <w:rFonts w:ascii="Verdana" w:hAnsi="Verdana"/>
          <w:b/>
          <w:szCs w:val="22"/>
        </w:rPr>
        <w:t>M</w:t>
      </w:r>
      <w:r w:rsidR="004C56F8">
        <w:rPr>
          <w:rFonts w:ascii="Verdana" w:hAnsi="Verdana"/>
          <w:b/>
          <w:szCs w:val="22"/>
        </w:rPr>
        <w:tab/>
        <w:t>EMORANDUM, 13-</w:t>
      </w:r>
      <w:r w:rsidR="00D914F3">
        <w:rPr>
          <w:rFonts w:ascii="Verdana" w:hAnsi="Verdana"/>
          <w:b/>
          <w:szCs w:val="22"/>
        </w:rPr>
        <w:t>17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F1450E" w:rsidRPr="00F1450E" w:rsidRDefault="00F1450E" w:rsidP="00E31F97">
      <w:pPr>
        <w:rPr>
          <w:rFonts w:ascii="Verdana" w:hAnsi="Verdana"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4060A0">
        <w:rPr>
          <w:rFonts w:ascii="Verdana" w:hAnsi="Verdana"/>
          <w:szCs w:val="22"/>
        </w:rPr>
        <w:t>Tina Webb, Assistant Director</w:t>
      </w: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270AA" w:rsidRPr="00F1450E" w:rsidRDefault="00E270AA" w:rsidP="00E31F97">
      <w:pPr>
        <w:rPr>
          <w:rFonts w:ascii="Verdana" w:hAnsi="Verdana"/>
          <w:szCs w:val="22"/>
        </w:rPr>
      </w:pP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6E0BF9">
        <w:rPr>
          <w:rFonts w:ascii="Verdana" w:hAnsi="Verdana"/>
          <w:szCs w:val="22"/>
        </w:rPr>
        <w:t>December 20, 2013</w:t>
      </w:r>
    </w:p>
    <w:p w:rsidR="006E0BF9" w:rsidRPr="00556A25" w:rsidRDefault="006E0BF9" w:rsidP="00E31F97">
      <w:pPr>
        <w:rPr>
          <w:rFonts w:ascii="Verdana" w:hAnsi="Verdana"/>
          <w:b/>
          <w:szCs w:val="22"/>
        </w:rPr>
      </w:pPr>
    </w:p>
    <w:p w:rsidR="006E0BF9" w:rsidRDefault="00E31F97" w:rsidP="006E0BF9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6E0BF9">
        <w:rPr>
          <w:rFonts w:ascii="Verdana" w:hAnsi="Verdana"/>
          <w:szCs w:val="22"/>
        </w:rPr>
        <w:tab/>
      </w:r>
      <w:r w:rsidR="006E0BF9" w:rsidRPr="006E0BF9">
        <w:rPr>
          <w:rFonts w:ascii="Verdana" w:hAnsi="Verdana"/>
          <w:szCs w:val="22"/>
        </w:rPr>
        <w:t>TWIST Changes Regarding Intake and Assessment Screens</w:t>
      </w:r>
    </w:p>
    <w:p w:rsidR="006E0BF9" w:rsidRDefault="006E0BF9" w:rsidP="006E0BF9">
      <w:pPr>
        <w:ind w:left="1440" w:hanging="1440"/>
        <w:rPr>
          <w:rFonts w:ascii="Verdana" w:hAnsi="Verdana"/>
          <w:sz w:val="21"/>
          <w:szCs w:val="21"/>
        </w:rPr>
      </w:pPr>
    </w:p>
    <w:p w:rsidR="00EF1C6F" w:rsidRPr="00A47A5F" w:rsidRDefault="00EF1C6F" w:rsidP="00EF1C6F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The TWIST changes involving the new Assessment and Documentation Tool (ADT), that will result in the intake and assessment functions moving to an internet based format, will occur between </w:t>
      </w:r>
      <w:r w:rsidRPr="00A47A5F">
        <w:rPr>
          <w:rFonts w:ascii="Verdana" w:hAnsi="Verdana"/>
          <w:szCs w:val="22"/>
        </w:rPr>
        <w:t xml:space="preserve">January 17, </w:t>
      </w:r>
      <w:r>
        <w:rPr>
          <w:rFonts w:ascii="Verdana" w:hAnsi="Verdana"/>
          <w:szCs w:val="22"/>
        </w:rPr>
        <w:t>2014 and January 21, 2014</w:t>
      </w:r>
      <w:r w:rsidRPr="00A47A5F">
        <w:rPr>
          <w:rFonts w:ascii="Verdana" w:hAnsi="Verdana"/>
          <w:szCs w:val="22"/>
        </w:rPr>
        <w:t xml:space="preserve">.  </w:t>
      </w:r>
      <w:r>
        <w:rPr>
          <w:rFonts w:ascii="Verdana" w:hAnsi="Verdana"/>
          <w:szCs w:val="22"/>
        </w:rPr>
        <w:t xml:space="preserve">While </w:t>
      </w:r>
      <w:r w:rsidRPr="00A47A5F">
        <w:rPr>
          <w:rFonts w:ascii="Verdana" w:hAnsi="Verdana"/>
          <w:szCs w:val="22"/>
        </w:rPr>
        <w:t>transition is in progress</w:t>
      </w:r>
      <w:r>
        <w:rPr>
          <w:rFonts w:ascii="Verdana" w:hAnsi="Verdana"/>
          <w:szCs w:val="22"/>
        </w:rPr>
        <w:t>,</w:t>
      </w:r>
      <w:r w:rsidRPr="00A47A5F">
        <w:rPr>
          <w:rFonts w:ascii="Verdana" w:hAnsi="Verdana"/>
          <w:szCs w:val="22"/>
        </w:rPr>
        <w:t xml:space="preserve"> the system will be unavailable for worker use.  </w:t>
      </w:r>
    </w:p>
    <w:p w:rsidR="00A47A5F" w:rsidRPr="00A47A5F" w:rsidRDefault="00A47A5F" w:rsidP="00123A63">
      <w:pPr>
        <w:rPr>
          <w:rFonts w:ascii="Verdana" w:hAnsi="Verdana"/>
          <w:szCs w:val="22"/>
        </w:rPr>
      </w:pPr>
    </w:p>
    <w:p w:rsidR="00236DF7" w:rsidRPr="00A47A5F" w:rsidRDefault="00CB1E62" w:rsidP="00123A63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While</w:t>
      </w:r>
      <w:r w:rsidR="00435CCA" w:rsidRPr="00A47A5F">
        <w:rPr>
          <w:rFonts w:ascii="Verdana" w:hAnsi="Verdana"/>
          <w:szCs w:val="22"/>
        </w:rPr>
        <w:t xml:space="preserve"> the system is down, regions will operat</w:t>
      </w:r>
      <w:r>
        <w:rPr>
          <w:rFonts w:ascii="Verdana" w:hAnsi="Verdana"/>
          <w:szCs w:val="22"/>
        </w:rPr>
        <w:t>e</w:t>
      </w:r>
      <w:r w:rsidR="00435CCA" w:rsidRPr="00A47A5F">
        <w:rPr>
          <w:rFonts w:ascii="Verdana" w:hAnsi="Verdana"/>
          <w:szCs w:val="22"/>
        </w:rPr>
        <w:t xml:space="preserve"> a paper </w:t>
      </w:r>
      <w:r>
        <w:rPr>
          <w:rFonts w:ascii="Verdana" w:hAnsi="Verdana"/>
          <w:szCs w:val="22"/>
        </w:rPr>
        <w:t>process for centralized intake</w:t>
      </w:r>
      <w:r w:rsidR="00435CCA" w:rsidRPr="00A47A5F">
        <w:rPr>
          <w:rFonts w:ascii="Verdana" w:hAnsi="Verdana"/>
          <w:szCs w:val="22"/>
        </w:rPr>
        <w:t>.</w:t>
      </w:r>
      <w:r>
        <w:rPr>
          <w:rFonts w:ascii="Verdana" w:hAnsi="Verdana"/>
          <w:szCs w:val="22"/>
        </w:rPr>
        <w:t xml:space="preserve">  Also, since JC-3s will not populate while the system is down, regions should prepare for a higher number of JC-3s that will </w:t>
      </w:r>
      <w:r w:rsidR="0092289E">
        <w:rPr>
          <w:rFonts w:ascii="Verdana" w:hAnsi="Verdana"/>
          <w:szCs w:val="22"/>
        </w:rPr>
        <w:t>populate</w:t>
      </w:r>
      <w:r>
        <w:rPr>
          <w:rFonts w:ascii="Verdana" w:hAnsi="Verdana"/>
          <w:szCs w:val="22"/>
        </w:rPr>
        <w:t xml:space="preserve"> before the morning of the 21</w:t>
      </w:r>
      <w:r w:rsidRPr="00CB1E62">
        <w:rPr>
          <w:rFonts w:ascii="Verdana" w:hAnsi="Verdana"/>
          <w:szCs w:val="22"/>
          <w:vertAlign w:val="superscript"/>
        </w:rPr>
        <w:t>st</w:t>
      </w:r>
      <w:r>
        <w:rPr>
          <w:rFonts w:ascii="Verdana" w:hAnsi="Verdana"/>
          <w:szCs w:val="22"/>
        </w:rPr>
        <w:t>.</w:t>
      </w:r>
      <w:r w:rsidR="00236DF7" w:rsidRPr="00A47A5F">
        <w:rPr>
          <w:rFonts w:ascii="Verdana" w:hAnsi="Verdana"/>
          <w:szCs w:val="22"/>
        </w:rPr>
        <w:t xml:space="preserve"> </w:t>
      </w:r>
    </w:p>
    <w:p w:rsidR="00236DF7" w:rsidRPr="00A47A5F" w:rsidRDefault="00236DF7" w:rsidP="00123A63">
      <w:pPr>
        <w:rPr>
          <w:rFonts w:ascii="Verdana" w:hAnsi="Verdana"/>
          <w:szCs w:val="22"/>
        </w:rPr>
      </w:pPr>
    </w:p>
    <w:p w:rsidR="0049036B" w:rsidRPr="00A47A5F" w:rsidRDefault="0049036B" w:rsidP="00123A63">
      <w:pPr>
        <w:rPr>
          <w:rFonts w:ascii="Verdana" w:hAnsi="Verdana"/>
          <w:szCs w:val="22"/>
        </w:rPr>
      </w:pPr>
      <w:r w:rsidRPr="00A47A5F">
        <w:rPr>
          <w:rFonts w:ascii="Verdana" w:hAnsi="Verdana"/>
          <w:szCs w:val="22"/>
        </w:rPr>
        <w:t xml:space="preserve">Intakes that have not received FSOS approval </w:t>
      </w:r>
      <w:r w:rsidRPr="00A47A5F">
        <w:rPr>
          <w:rFonts w:ascii="Verdana" w:hAnsi="Verdana"/>
          <w:b/>
          <w:szCs w:val="22"/>
        </w:rPr>
        <w:t>will be</w:t>
      </w:r>
      <w:r w:rsidRPr="00A47A5F">
        <w:rPr>
          <w:rFonts w:ascii="Verdana" w:hAnsi="Verdana"/>
          <w:szCs w:val="22"/>
        </w:rPr>
        <w:t xml:space="preserve"> converted to the new format</w:t>
      </w:r>
      <w:r w:rsidR="0092289E">
        <w:rPr>
          <w:rFonts w:ascii="Verdana" w:hAnsi="Verdana"/>
          <w:szCs w:val="22"/>
        </w:rPr>
        <w:t>; however, because there is a</w:t>
      </w:r>
      <w:r w:rsidRPr="00A47A5F">
        <w:rPr>
          <w:rFonts w:ascii="Verdana" w:hAnsi="Verdana"/>
          <w:szCs w:val="22"/>
        </w:rPr>
        <w:t xml:space="preserve"> potential for </w:t>
      </w:r>
      <w:r w:rsidR="0092289E">
        <w:rPr>
          <w:rFonts w:ascii="Verdana" w:hAnsi="Verdana"/>
          <w:szCs w:val="22"/>
        </w:rPr>
        <w:t>lost data, it</w:t>
      </w:r>
      <w:r w:rsidRPr="00A47A5F">
        <w:rPr>
          <w:rFonts w:ascii="Verdana" w:hAnsi="Verdana"/>
          <w:szCs w:val="22"/>
        </w:rPr>
        <w:t xml:space="preserve"> is strongly recommended that there be as few </w:t>
      </w:r>
      <w:r w:rsidR="006418C7" w:rsidRPr="00A47A5F">
        <w:rPr>
          <w:rFonts w:ascii="Verdana" w:hAnsi="Verdana"/>
          <w:szCs w:val="22"/>
        </w:rPr>
        <w:t xml:space="preserve">pending </w:t>
      </w:r>
      <w:r w:rsidRPr="00A47A5F">
        <w:rPr>
          <w:rFonts w:ascii="Verdana" w:hAnsi="Verdana"/>
          <w:szCs w:val="22"/>
        </w:rPr>
        <w:t>intakes as possible when the system goes down</w:t>
      </w:r>
      <w:r w:rsidR="006418C7">
        <w:rPr>
          <w:rFonts w:ascii="Verdana" w:hAnsi="Verdana"/>
          <w:szCs w:val="22"/>
        </w:rPr>
        <w:t xml:space="preserve"> on the 17</w:t>
      </w:r>
      <w:r w:rsidR="006418C7" w:rsidRPr="006418C7">
        <w:rPr>
          <w:rFonts w:ascii="Verdana" w:hAnsi="Verdana"/>
          <w:szCs w:val="22"/>
          <w:vertAlign w:val="superscript"/>
        </w:rPr>
        <w:t>th</w:t>
      </w:r>
      <w:r w:rsidRPr="00A47A5F">
        <w:rPr>
          <w:rFonts w:ascii="Verdana" w:hAnsi="Verdana"/>
          <w:szCs w:val="22"/>
        </w:rPr>
        <w:t xml:space="preserve">.  </w:t>
      </w:r>
    </w:p>
    <w:p w:rsidR="0049036B" w:rsidRPr="00A47A5F" w:rsidRDefault="0049036B" w:rsidP="00123A63">
      <w:pPr>
        <w:rPr>
          <w:rFonts w:ascii="Verdana" w:hAnsi="Verdana"/>
          <w:szCs w:val="22"/>
        </w:rPr>
      </w:pPr>
    </w:p>
    <w:p w:rsidR="0049036B" w:rsidRPr="00A47A5F" w:rsidRDefault="0092289E" w:rsidP="00123A63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 xml:space="preserve">Any </w:t>
      </w:r>
      <w:r w:rsidR="00EF1C6F">
        <w:rPr>
          <w:rFonts w:ascii="Verdana" w:hAnsi="Verdana"/>
          <w:b/>
          <w:szCs w:val="22"/>
        </w:rPr>
        <w:t>i</w:t>
      </w:r>
      <w:r w:rsidR="0049036B" w:rsidRPr="00A47A5F">
        <w:rPr>
          <w:rFonts w:ascii="Verdana" w:hAnsi="Verdana"/>
          <w:b/>
          <w:szCs w:val="22"/>
        </w:rPr>
        <w:t xml:space="preserve">nvestigative CQA </w:t>
      </w:r>
      <w:r>
        <w:rPr>
          <w:rFonts w:ascii="Verdana" w:hAnsi="Verdana"/>
          <w:szCs w:val="22"/>
        </w:rPr>
        <w:t>that is not granted an FSOS approval by</w:t>
      </w:r>
      <w:r w:rsidR="00CB1E62">
        <w:rPr>
          <w:rFonts w:ascii="Verdana" w:hAnsi="Verdana"/>
          <w:szCs w:val="22"/>
        </w:rPr>
        <w:t xml:space="preserve"> January 16</w:t>
      </w:r>
      <w:r w:rsidR="00CB1E62" w:rsidRPr="00CB1E62">
        <w:rPr>
          <w:rFonts w:ascii="Verdana" w:hAnsi="Verdana"/>
          <w:szCs w:val="22"/>
          <w:vertAlign w:val="superscript"/>
        </w:rPr>
        <w:t>th</w:t>
      </w:r>
      <w:r w:rsidR="00CB1E62">
        <w:rPr>
          <w:rFonts w:ascii="Verdana" w:hAnsi="Verdana"/>
          <w:szCs w:val="22"/>
        </w:rPr>
        <w:t xml:space="preserve"> </w:t>
      </w:r>
      <w:r w:rsidR="0049036B" w:rsidRPr="00A47A5F">
        <w:rPr>
          <w:rFonts w:ascii="Verdana" w:hAnsi="Verdana"/>
          <w:b/>
          <w:szCs w:val="22"/>
        </w:rPr>
        <w:t>will be deleted during the conversion</w:t>
      </w:r>
      <w:r>
        <w:rPr>
          <w:rFonts w:ascii="Verdana" w:hAnsi="Verdana"/>
          <w:b/>
          <w:szCs w:val="22"/>
        </w:rPr>
        <w:t>.  P</w:t>
      </w:r>
      <w:r w:rsidR="00CB1E62">
        <w:rPr>
          <w:rFonts w:ascii="Verdana" w:hAnsi="Verdana"/>
          <w:b/>
          <w:szCs w:val="22"/>
        </w:rPr>
        <w:t xml:space="preserve">reviously saved content </w:t>
      </w:r>
      <w:r w:rsidR="0049036B" w:rsidRPr="00A47A5F">
        <w:rPr>
          <w:rFonts w:ascii="Verdana" w:hAnsi="Verdana"/>
          <w:b/>
          <w:szCs w:val="22"/>
        </w:rPr>
        <w:t xml:space="preserve">will </w:t>
      </w:r>
      <w:r>
        <w:rPr>
          <w:rFonts w:ascii="Verdana" w:hAnsi="Verdana"/>
          <w:b/>
          <w:szCs w:val="22"/>
        </w:rPr>
        <w:t xml:space="preserve">lost, </w:t>
      </w:r>
      <w:r w:rsidRPr="0092289E">
        <w:rPr>
          <w:rFonts w:ascii="Verdana" w:hAnsi="Verdana"/>
          <w:szCs w:val="22"/>
        </w:rPr>
        <w:t>and workers will have to reenter any content into the new screens</w:t>
      </w:r>
      <w:r w:rsidR="0049036B" w:rsidRPr="0092289E">
        <w:rPr>
          <w:rFonts w:ascii="Verdana" w:hAnsi="Verdana"/>
          <w:szCs w:val="22"/>
        </w:rPr>
        <w:t>.</w:t>
      </w:r>
      <w:r w:rsidR="0049036B" w:rsidRPr="00A47A5F">
        <w:rPr>
          <w:rFonts w:ascii="Verdana" w:hAnsi="Verdana"/>
          <w:szCs w:val="22"/>
        </w:rPr>
        <w:t xml:space="preserve">  For CQAs that have approved extensions, staff should utilize the </w:t>
      </w:r>
      <w:hyperlink r:id="rId9" w:history="1">
        <w:r w:rsidR="00A47A5F" w:rsidRPr="00282895">
          <w:rPr>
            <w:rStyle w:val="Hyperlink"/>
            <w:rFonts w:ascii="Verdana" w:hAnsi="Verdana"/>
            <w:szCs w:val="22"/>
          </w:rPr>
          <w:t>Saving a T</w:t>
        </w:r>
        <w:bookmarkStart w:id="0" w:name="_GoBack"/>
        <w:bookmarkEnd w:id="0"/>
        <w:r w:rsidR="00A47A5F" w:rsidRPr="00282895">
          <w:rPr>
            <w:rStyle w:val="Hyperlink"/>
            <w:rFonts w:ascii="Verdana" w:hAnsi="Verdana"/>
            <w:szCs w:val="22"/>
          </w:rPr>
          <w:t>W</w:t>
        </w:r>
        <w:r w:rsidR="00A47A5F" w:rsidRPr="00282895">
          <w:rPr>
            <w:rStyle w:val="Hyperlink"/>
            <w:rFonts w:ascii="Verdana" w:hAnsi="Verdana"/>
            <w:szCs w:val="22"/>
          </w:rPr>
          <w:t>IST CQA as a Word Document</w:t>
        </w:r>
      </w:hyperlink>
      <w:r w:rsidR="00A47A5F" w:rsidRPr="00A47A5F">
        <w:rPr>
          <w:rFonts w:ascii="Verdana" w:hAnsi="Verdana"/>
          <w:szCs w:val="22"/>
        </w:rPr>
        <w:t xml:space="preserve"> tip sheet to save pending work.  Once the web based screens are available, workers can use the Word document to pa</w:t>
      </w:r>
      <w:r w:rsidR="006418C7">
        <w:rPr>
          <w:rFonts w:ascii="Verdana" w:hAnsi="Verdana"/>
          <w:szCs w:val="22"/>
        </w:rPr>
        <w:t>s</w:t>
      </w:r>
      <w:r w:rsidR="00A47A5F" w:rsidRPr="00A47A5F">
        <w:rPr>
          <w:rFonts w:ascii="Verdana" w:hAnsi="Verdana"/>
          <w:szCs w:val="22"/>
        </w:rPr>
        <w:t>t</w:t>
      </w:r>
      <w:r w:rsidR="006418C7">
        <w:rPr>
          <w:rFonts w:ascii="Verdana" w:hAnsi="Verdana"/>
          <w:szCs w:val="22"/>
        </w:rPr>
        <w:t>e</w:t>
      </w:r>
      <w:r w:rsidR="00A47A5F" w:rsidRPr="00A47A5F">
        <w:rPr>
          <w:rFonts w:ascii="Verdana" w:hAnsi="Verdana"/>
          <w:szCs w:val="22"/>
        </w:rPr>
        <w:t xml:space="preserve"> content into the new screens.  </w:t>
      </w:r>
      <w:r w:rsidR="0049036B" w:rsidRPr="00A47A5F">
        <w:rPr>
          <w:rFonts w:ascii="Verdana" w:hAnsi="Verdana"/>
          <w:szCs w:val="22"/>
        </w:rPr>
        <w:t xml:space="preserve">     </w:t>
      </w:r>
    </w:p>
    <w:p w:rsidR="00A47A5F" w:rsidRPr="00A47A5F" w:rsidRDefault="00A47A5F" w:rsidP="00123A63">
      <w:pPr>
        <w:rPr>
          <w:rFonts w:ascii="Verdana" w:hAnsi="Verdana"/>
          <w:szCs w:val="22"/>
        </w:rPr>
      </w:pPr>
    </w:p>
    <w:p w:rsidR="00A47A5F" w:rsidRPr="00A47A5F" w:rsidRDefault="00A47A5F" w:rsidP="00123A63">
      <w:pPr>
        <w:rPr>
          <w:rFonts w:ascii="Verdana" w:hAnsi="Verdana"/>
          <w:szCs w:val="22"/>
        </w:rPr>
      </w:pPr>
      <w:r w:rsidRPr="00A47A5F">
        <w:rPr>
          <w:rFonts w:ascii="Verdana" w:hAnsi="Verdana"/>
          <w:szCs w:val="22"/>
        </w:rPr>
        <w:lastRenderedPageBreak/>
        <w:t xml:space="preserve">If you have any questions regarding this memorandum, please contact via e-mail, </w:t>
      </w:r>
      <w:hyperlink r:id="rId10" w:history="1">
        <w:r w:rsidRPr="00A47A5F">
          <w:rPr>
            <w:rStyle w:val="Hyperlink"/>
            <w:rFonts w:ascii="Verdana" w:hAnsi="Verdana"/>
            <w:szCs w:val="22"/>
          </w:rPr>
          <w:t>Gretchen.marshall@ky.gov</w:t>
        </w:r>
      </w:hyperlink>
      <w:r w:rsidRPr="00A47A5F">
        <w:rPr>
          <w:rFonts w:ascii="Verdana" w:hAnsi="Verdana"/>
          <w:szCs w:val="22"/>
        </w:rPr>
        <w:t xml:space="preserve"> or by telephone at (502) 564-7635, ext. 3587.</w:t>
      </w:r>
    </w:p>
    <w:p w:rsidR="0049036B" w:rsidRDefault="0049036B" w:rsidP="00123A63">
      <w:pPr>
        <w:rPr>
          <w:rFonts w:ascii="Verdana" w:hAnsi="Verdana"/>
          <w:sz w:val="21"/>
          <w:szCs w:val="21"/>
        </w:rPr>
      </w:pPr>
    </w:p>
    <w:p w:rsidR="006E0BF9" w:rsidRPr="006E0BF9" w:rsidRDefault="0049036B" w:rsidP="00123A63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  <w:r w:rsidR="00236DF7">
        <w:rPr>
          <w:rFonts w:ascii="Verdana" w:hAnsi="Verdana"/>
          <w:sz w:val="21"/>
          <w:szCs w:val="21"/>
        </w:rPr>
        <w:t xml:space="preserve">   </w:t>
      </w:r>
      <w:r w:rsidR="00435CCA">
        <w:rPr>
          <w:rFonts w:ascii="Verdana" w:hAnsi="Verdana"/>
          <w:sz w:val="21"/>
          <w:szCs w:val="21"/>
        </w:rPr>
        <w:t xml:space="preserve">  </w:t>
      </w:r>
      <w:r w:rsidR="00123A63">
        <w:rPr>
          <w:rFonts w:ascii="Verdana" w:hAnsi="Verdana"/>
          <w:sz w:val="21"/>
          <w:szCs w:val="21"/>
        </w:rPr>
        <w:t xml:space="preserve">    </w:t>
      </w:r>
    </w:p>
    <w:p w:rsidR="00F1450E" w:rsidRPr="007D239D" w:rsidRDefault="00F1450E">
      <w:pPr>
        <w:rPr>
          <w:rFonts w:ascii="Verdana" w:hAnsi="Verdana"/>
          <w:sz w:val="21"/>
          <w:szCs w:val="21"/>
        </w:rPr>
      </w:pPr>
    </w:p>
    <w:sectPr w:rsidR="00F1450E" w:rsidRPr="007D239D" w:rsidSect="00CB1E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965" w:bottom="1296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D0" w:rsidRDefault="00770ED0">
      <w:r>
        <w:separator/>
      </w:r>
    </w:p>
  </w:endnote>
  <w:endnote w:type="continuationSeparator" w:id="0">
    <w:p w:rsidR="00770ED0" w:rsidRDefault="0077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6B" w:rsidRDefault="004903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6B" w:rsidRDefault="004903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6B" w:rsidRDefault="0049036B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76D522" wp14:editId="5BDB3A2A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36B" w:rsidRDefault="0049036B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51ADE8A7" wp14:editId="17C32E81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334BF9" w:rsidRDefault="00334BF9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79BDEDD" wp14:editId="71C19A4D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9036B" w:rsidRPr="00524DAE" w:rsidRDefault="0049036B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D0" w:rsidRDefault="00770ED0">
      <w:r>
        <w:separator/>
      </w:r>
    </w:p>
  </w:footnote>
  <w:footnote w:type="continuationSeparator" w:id="0">
    <w:p w:rsidR="00770ED0" w:rsidRDefault="00770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6B" w:rsidRDefault="004903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6B" w:rsidRDefault="004903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6B" w:rsidRDefault="0049036B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A6631E" wp14:editId="123550CA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36B" w:rsidRDefault="0049036B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5A259097" wp14:editId="6E28D51B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846E5C" wp14:editId="068A9B83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334BF9" w:rsidRDefault="00334BF9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0919666E" wp14:editId="2E7B4887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A9A3038" wp14:editId="1838B1A2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9036B" w:rsidRDefault="0049036B" w:rsidP="00797852">
    <w:pPr>
      <w:tabs>
        <w:tab w:val="center" w:pos="5264"/>
      </w:tabs>
      <w:spacing w:line="220" w:lineRule="atLeast"/>
      <w:rPr>
        <w:sz w:val="20"/>
      </w:rPr>
    </w:pPr>
  </w:p>
  <w:p w:rsidR="0049036B" w:rsidRDefault="0049036B" w:rsidP="00797852">
    <w:pPr>
      <w:spacing w:line="220" w:lineRule="atLeast"/>
      <w:rPr>
        <w:sz w:val="20"/>
      </w:rPr>
    </w:pPr>
  </w:p>
  <w:p w:rsidR="0049036B" w:rsidRDefault="0049036B" w:rsidP="00797852">
    <w:pPr>
      <w:spacing w:line="260" w:lineRule="atLeast"/>
      <w:rPr>
        <w:rFonts w:ascii="TradeGothic LH BoldExtended" w:hAnsi="TradeGothic LH BoldExtended"/>
        <w:sz w:val="20"/>
      </w:rPr>
    </w:pPr>
  </w:p>
  <w:p w:rsidR="0049036B" w:rsidRDefault="0049036B" w:rsidP="00797852">
    <w:pPr>
      <w:spacing w:line="260" w:lineRule="atLeast"/>
      <w:rPr>
        <w:sz w:val="20"/>
      </w:rPr>
    </w:pPr>
  </w:p>
  <w:p w:rsidR="0049036B" w:rsidRDefault="0049036B" w:rsidP="00797852">
    <w:pPr>
      <w:spacing w:line="260" w:lineRule="atLeast"/>
      <w:rPr>
        <w:sz w:val="20"/>
      </w:rPr>
    </w:pPr>
  </w:p>
  <w:p w:rsidR="0049036B" w:rsidRDefault="0049036B" w:rsidP="00797852">
    <w:pPr>
      <w:spacing w:line="140" w:lineRule="atLeast"/>
      <w:rPr>
        <w:sz w:val="20"/>
      </w:rPr>
    </w:pPr>
  </w:p>
  <w:p w:rsidR="0049036B" w:rsidRDefault="0049036B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49036B" w:rsidRDefault="0049036B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49036B" w:rsidRDefault="0049036B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691586" wp14:editId="346B7BBD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36B" w:rsidRDefault="0049036B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49036B" w:rsidRDefault="0049036B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49036B" w:rsidRDefault="0049036B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49036B" w:rsidRDefault="0049036B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49036B" w:rsidRDefault="0049036B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334BF9" w:rsidRDefault="00334BF9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49036B" w:rsidRDefault="0049036B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49036B" w:rsidRDefault="0049036B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49036B" w:rsidRDefault="0049036B" w:rsidP="00797852">
    <w:pPr>
      <w:pStyle w:val="GovSecretaryDeputySecname"/>
    </w:pPr>
  </w:p>
  <w:p w:rsidR="0049036B" w:rsidRDefault="0049036B" w:rsidP="00797852">
    <w:pPr>
      <w:pStyle w:val="GovSecretaryDeputySectilte"/>
    </w:pPr>
    <w:r>
      <w:tab/>
    </w:r>
  </w:p>
  <w:p w:rsidR="0049036B" w:rsidRPr="00797852" w:rsidRDefault="0049036B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682"/>
    <w:multiLevelType w:val="hybridMultilevel"/>
    <w:tmpl w:val="699E5FF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6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65D14"/>
    <w:multiLevelType w:val="hybridMultilevel"/>
    <w:tmpl w:val="3D3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835425"/>
    <w:multiLevelType w:val="hybridMultilevel"/>
    <w:tmpl w:val="9560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304C0"/>
    <w:multiLevelType w:val="hybridMultilevel"/>
    <w:tmpl w:val="E2B85576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>
    <w:nsid w:val="558B7B7A"/>
    <w:multiLevelType w:val="multilevel"/>
    <w:tmpl w:val="953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A24692D"/>
    <w:multiLevelType w:val="hybridMultilevel"/>
    <w:tmpl w:val="6238760E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32683F"/>
    <w:multiLevelType w:val="hybridMultilevel"/>
    <w:tmpl w:val="12D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74704"/>
    <w:multiLevelType w:val="hybridMultilevel"/>
    <w:tmpl w:val="3FC855A8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2"/>
  </w:num>
  <w:num w:numId="5">
    <w:abstractNumId w:val="18"/>
  </w:num>
  <w:num w:numId="6">
    <w:abstractNumId w:val="6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7"/>
  </w:num>
  <w:num w:numId="12">
    <w:abstractNumId w:val="15"/>
  </w:num>
  <w:num w:numId="13">
    <w:abstractNumId w:val="5"/>
  </w:num>
  <w:num w:numId="14">
    <w:abstractNumId w:val="8"/>
  </w:num>
  <w:num w:numId="15">
    <w:abstractNumId w:val="19"/>
  </w:num>
  <w:num w:numId="16">
    <w:abstractNumId w:val="16"/>
  </w:num>
  <w:num w:numId="17">
    <w:abstractNumId w:val="0"/>
  </w:num>
  <w:num w:numId="18">
    <w:abstractNumId w:val="10"/>
  </w:num>
  <w:num w:numId="19">
    <w:abstractNumId w:val="20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189D"/>
    <w:rsid w:val="000338B5"/>
    <w:rsid w:val="00072FBF"/>
    <w:rsid w:val="00080C8B"/>
    <w:rsid w:val="00091870"/>
    <w:rsid w:val="000B38C3"/>
    <w:rsid w:val="000C65CA"/>
    <w:rsid w:val="000D26FF"/>
    <w:rsid w:val="000D68D5"/>
    <w:rsid w:val="000E3849"/>
    <w:rsid w:val="000E6D79"/>
    <w:rsid w:val="00123A63"/>
    <w:rsid w:val="00130405"/>
    <w:rsid w:val="0017490F"/>
    <w:rsid w:val="00191703"/>
    <w:rsid w:val="001934E5"/>
    <w:rsid w:val="001D6A40"/>
    <w:rsid w:val="001F3FE8"/>
    <w:rsid w:val="00202F1C"/>
    <w:rsid w:val="00220749"/>
    <w:rsid w:val="002257A4"/>
    <w:rsid w:val="00225B33"/>
    <w:rsid w:val="00227F3F"/>
    <w:rsid w:val="00236DF7"/>
    <w:rsid w:val="00237F32"/>
    <w:rsid w:val="0024483B"/>
    <w:rsid w:val="00273490"/>
    <w:rsid w:val="002809D0"/>
    <w:rsid w:val="00280D3D"/>
    <w:rsid w:val="00282895"/>
    <w:rsid w:val="00286545"/>
    <w:rsid w:val="002B19FB"/>
    <w:rsid w:val="002C41C0"/>
    <w:rsid w:val="002C690C"/>
    <w:rsid w:val="002D29D3"/>
    <w:rsid w:val="002D5CBA"/>
    <w:rsid w:val="002E26B7"/>
    <w:rsid w:val="002E617B"/>
    <w:rsid w:val="002F64A1"/>
    <w:rsid w:val="0030161C"/>
    <w:rsid w:val="003134FB"/>
    <w:rsid w:val="00314852"/>
    <w:rsid w:val="00322E22"/>
    <w:rsid w:val="00334BF9"/>
    <w:rsid w:val="00344CC9"/>
    <w:rsid w:val="003758DD"/>
    <w:rsid w:val="00377B60"/>
    <w:rsid w:val="00386AF1"/>
    <w:rsid w:val="00387552"/>
    <w:rsid w:val="00391FEC"/>
    <w:rsid w:val="00397097"/>
    <w:rsid w:val="003C0AEC"/>
    <w:rsid w:val="003C10B5"/>
    <w:rsid w:val="003C5712"/>
    <w:rsid w:val="003D1987"/>
    <w:rsid w:val="003D5657"/>
    <w:rsid w:val="003F166A"/>
    <w:rsid w:val="004060A0"/>
    <w:rsid w:val="004062E2"/>
    <w:rsid w:val="00427A0E"/>
    <w:rsid w:val="00435CCA"/>
    <w:rsid w:val="00436673"/>
    <w:rsid w:val="00447085"/>
    <w:rsid w:val="00464785"/>
    <w:rsid w:val="004669B5"/>
    <w:rsid w:val="0049036B"/>
    <w:rsid w:val="004A082C"/>
    <w:rsid w:val="004A3652"/>
    <w:rsid w:val="004C56F8"/>
    <w:rsid w:val="005135DD"/>
    <w:rsid w:val="0052108B"/>
    <w:rsid w:val="00524DAE"/>
    <w:rsid w:val="00532EBB"/>
    <w:rsid w:val="00541EA0"/>
    <w:rsid w:val="005509FB"/>
    <w:rsid w:val="005524AC"/>
    <w:rsid w:val="00560F32"/>
    <w:rsid w:val="00585967"/>
    <w:rsid w:val="005922E1"/>
    <w:rsid w:val="00596549"/>
    <w:rsid w:val="005A073E"/>
    <w:rsid w:val="005A4947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18C7"/>
    <w:rsid w:val="00642A9D"/>
    <w:rsid w:val="00645985"/>
    <w:rsid w:val="0066589B"/>
    <w:rsid w:val="006816B5"/>
    <w:rsid w:val="0068667E"/>
    <w:rsid w:val="0069732D"/>
    <w:rsid w:val="006A20BB"/>
    <w:rsid w:val="006A7CD8"/>
    <w:rsid w:val="006B2951"/>
    <w:rsid w:val="006B3577"/>
    <w:rsid w:val="006C43DA"/>
    <w:rsid w:val="006C6F62"/>
    <w:rsid w:val="006C76F7"/>
    <w:rsid w:val="006E0BF9"/>
    <w:rsid w:val="006E13C9"/>
    <w:rsid w:val="007171EB"/>
    <w:rsid w:val="0071771E"/>
    <w:rsid w:val="00770ED0"/>
    <w:rsid w:val="00792735"/>
    <w:rsid w:val="00792B23"/>
    <w:rsid w:val="00797852"/>
    <w:rsid w:val="007A0FC9"/>
    <w:rsid w:val="007A2388"/>
    <w:rsid w:val="007B16CD"/>
    <w:rsid w:val="007C6486"/>
    <w:rsid w:val="007D217B"/>
    <w:rsid w:val="007D239D"/>
    <w:rsid w:val="007F42F7"/>
    <w:rsid w:val="007F5F6E"/>
    <w:rsid w:val="0081658E"/>
    <w:rsid w:val="00841387"/>
    <w:rsid w:val="00867DE4"/>
    <w:rsid w:val="008A33B7"/>
    <w:rsid w:val="008A414C"/>
    <w:rsid w:val="008B7EFF"/>
    <w:rsid w:val="008C09F2"/>
    <w:rsid w:val="008D02D6"/>
    <w:rsid w:val="008D6F4E"/>
    <w:rsid w:val="009005C0"/>
    <w:rsid w:val="0092289E"/>
    <w:rsid w:val="00923E87"/>
    <w:rsid w:val="00924D99"/>
    <w:rsid w:val="009317D4"/>
    <w:rsid w:val="00941C0D"/>
    <w:rsid w:val="00954677"/>
    <w:rsid w:val="00963F73"/>
    <w:rsid w:val="009651EB"/>
    <w:rsid w:val="00966E9F"/>
    <w:rsid w:val="00992582"/>
    <w:rsid w:val="009B40EE"/>
    <w:rsid w:val="009D276D"/>
    <w:rsid w:val="009D3789"/>
    <w:rsid w:val="009E026F"/>
    <w:rsid w:val="009E638F"/>
    <w:rsid w:val="00A04AC1"/>
    <w:rsid w:val="00A07E8E"/>
    <w:rsid w:val="00A13BC5"/>
    <w:rsid w:val="00A15CB9"/>
    <w:rsid w:val="00A23E6C"/>
    <w:rsid w:val="00A269C2"/>
    <w:rsid w:val="00A4613D"/>
    <w:rsid w:val="00A47A5F"/>
    <w:rsid w:val="00A633D7"/>
    <w:rsid w:val="00A73643"/>
    <w:rsid w:val="00A83EF3"/>
    <w:rsid w:val="00AA1E65"/>
    <w:rsid w:val="00AA7C21"/>
    <w:rsid w:val="00AC036F"/>
    <w:rsid w:val="00AE21C3"/>
    <w:rsid w:val="00AF18AA"/>
    <w:rsid w:val="00B33CC2"/>
    <w:rsid w:val="00B364EA"/>
    <w:rsid w:val="00B428A3"/>
    <w:rsid w:val="00B434D8"/>
    <w:rsid w:val="00B5566E"/>
    <w:rsid w:val="00B56785"/>
    <w:rsid w:val="00B82F96"/>
    <w:rsid w:val="00B85E7C"/>
    <w:rsid w:val="00BA176E"/>
    <w:rsid w:val="00BC21CE"/>
    <w:rsid w:val="00BC3AD0"/>
    <w:rsid w:val="00BC431F"/>
    <w:rsid w:val="00BC67F5"/>
    <w:rsid w:val="00BE6B02"/>
    <w:rsid w:val="00BF1D9F"/>
    <w:rsid w:val="00BF3A23"/>
    <w:rsid w:val="00C10849"/>
    <w:rsid w:val="00C1319F"/>
    <w:rsid w:val="00C56A89"/>
    <w:rsid w:val="00C61146"/>
    <w:rsid w:val="00C64E29"/>
    <w:rsid w:val="00C66601"/>
    <w:rsid w:val="00C81A66"/>
    <w:rsid w:val="00C84488"/>
    <w:rsid w:val="00C847BD"/>
    <w:rsid w:val="00CB0280"/>
    <w:rsid w:val="00CB1E62"/>
    <w:rsid w:val="00CC1C59"/>
    <w:rsid w:val="00CD13E7"/>
    <w:rsid w:val="00D02EA4"/>
    <w:rsid w:val="00D03318"/>
    <w:rsid w:val="00D03565"/>
    <w:rsid w:val="00D070A4"/>
    <w:rsid w:val="00D351DF"/>
    <w:rsid w:val="00D3596D"/>
    <w:rsid w:val="00D446F7"/>
    <w:rsid w:val="00D544E0"/>
    <w:rsid w:val="00D55AC9"/>
    <w:rsid w:val="00D5798D"/>
    <w:rsid w:val="00D62EDF"/>
    <w:rsid w:val="00D73EAC"/>
    <w:rsid w:val="00D760E7"/>
    <w:rsid w:val="00D77C8B"/>
    <w:rsid w:val="00D82AE0"/>
    <w:rsid w:val="00D914F3"/>
    <w:rsid w:val="00D9414D"/>
    <w:rsid w:val="00D95B48"/>
    <w:rsid w:val="00D97958"/>
    <w:rsid w:val="00DB0D30"/>
    <w:rsid w:val="00DB2256"/>
    <w:rsid w:val="00DB2DC1"/>
    <w:rsid w:val="00DC5220"/>
    <w:rsid w:val="00DD0743"/>
    <w:rsid w:val="00DD2928"/>
    <w:rsid w:val="00DE77E4"/>
    <w:rsid w:val="00DF3E1E"/>
    <w:rsid w:val="00DF68FF"/>
    <w:rsid w:val="00DF7330"/>
    <w:rsid w:val="00E00828"/>
    <w:rsid w:val="00E20432"/>
    <w:rsid w:val="00E270AA"/>
    <w:rsid w:val="00E31F97"/>
    <w:rsid w:val="00E367CE"/>
    <w:rsid w:val="00E407CB"/>
    <w:rsid w:val="00E50F01"/>
    <w:rsid w:val="00E5548F"/>
    <w:rsid w:val="00E63318"/>
    <w:rsid w:val="00E67BEF"/>
    <w:rsid w:val="00E8582D"/>
    <w:rsid w:val="00E929A5"/>
    <w:rsid w:val="00E93EA8"/>
    <w:rsid w:val="00EA27B5"/>
    <w:rsid w:val="00EA2C0C"/>
    <w:rsid w:val="00EA2C47"/>
    <w:rsid w:val="00EB0FEF"/>
    <w:rsid w:val="00EB2509"/>
    <w:rsid w:val="00EC638E"/>
    <w:rsid w:val="00EE34D6"/>
    <w:rsid w:val="00EE4758"/>
    <w:rsid w:val="00EF1C6F"/>
    <w:rsid w:val="00EF487B"/>
    <w:rsid w:val="00EF7BE0"/>
    <w:rsid w:val="00F0079B"/>
    <w:rsid w:val="00F035C1"/>
    <w:rsid w:val="00F039FE"/>
    <w:rsid w:val="00F1450E"/>
    <w:rsid w:val="00F24449"/>
    <w:rsid w:val="00F27813"/>
    <w:rsid w:val="00F30990"/>
    <w:rsid w:val="00F30C9C"/>
    <w:rsid w:val="00F36945"/>
    <w:rsid w:val="00F40F30"/>
    <w:rsid w:val="00F70416"/>
    <w:rsid w:val="00FA4B21"/>
    <w:rsid w:val="00FC2049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retchen.marshall@ky.gov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s://manuals.sp.chfs.ky.gov/Resources/Related%20Resources%20Library/Saving%20a%20TWIST%20CQA%20as%20a%20Word%20Document.docx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2013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AC380C-5CAB-41DC-98BC-61E16BCDAF68}"/>
</file>

<file path=customXml/itemProps2.xml><?xml version="1.0" encoding="utf-8"?>
<ds:datastoreItem xmlns:ds="http://schemas.openxmlformats.org/officeDocument/2006/customXml" ds:itemID="{65B68BAD-C3E7-4941-A416-07854B05BB65}"/>
</file>

<file path=customXml/itemProps3.xml><?xml version="1.0" encoding="utf-8"?>
<ds:datastoreItem xmlns:ds="http://schemas.openxmlformats.org/officeDocument/2006/customXml" ds:itemID="{90148BA7-63C2-4585-AC83-0285F5CCB701}"/>
</file>

<file path=customXml/itemProps4.xml><?xml version="1.0" encoding="utf-8"?>
<ds:datastoreItem xmlns:ds="http://schemas.openxmlformats.org/officeDocument/2006/customXml" ds:itemID="{69AFE151-6256-4DE5-A3BA-95CA886A65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13-17 TWIST Changes Regarding Intake and Assessment Screens</dc:title>
  <dc:creator>Beth.Holbrook</dc:creator>
  <cp:lastModifiedBy>lisar.smith</cp:lastModifiedBy>
  <cp:revision>3</cp:revision>
  <cp:lastPrinted>2013-12-19T19:55:00Z</cp:lastPrinted>
  <dcterms:created xsi:type="dcterms:W3CDTF">2013-12-20T18:45:00Z</dcterms:created>
  <dcterms:modified xsi:type="dcterms:W3CDTF">2013-12-20T19:01:00Z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25500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2013</vt:lpwstr>
  </property>
</Properties>
</file>